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80" w:before="360" w:line="278.00000000000006" w:lineRule="auto"/>
        <w:jc w:val="both"/>
        <w:rPr>
          <w:rFonts w:ascii="Montserrat SemiBold" w:cs="Montserrat SemiBold" w:eastAsia="Montserrat SemiBold" w:hAnsi="Montserrat SemiBold"/>
          <w:color w:val="0f4761"/>
          <w:sz w:val="32"/>
          <w:szCs w:val="32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0f4761"/>
          <w:sz w:val="32"/>
          <w:szCs w:val="32"/>
          <w:rtl w:val="0"/>
        </w:rPr>
        <w:t xml:space="preserve">Programa - Dual Hub Summit 2025</w:t>
      </w:r>
    </w:p>
    <w:p w:rsidR="00000000" w:rsidDel="00000000" w:rsidP="00000000" w:rsidRDefault="00000000" w:rsidRPr="00000000" w14:paraId="00000002">
      <w:pPr>
        <w:spacing w:after="160" w:line="278.00000000000006" w:lineRule="auto"/>
        <w:jc w:val="both"/>
        <w:rPr>
          <w:rFonts w:ascii="Poppins Light" w:cs="Poppins Light" w:eastAsia="Poppins Light" w:hAnsi="Poppins Light"/>
          <w:sz w:val="24"/>
          <w:szCs w:val="24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sz w:val="24"/>
          <w:szCs w:val="24"/>
          <w:rtl w:val="0"/>
        </w:rPr>
        <w:t xml:space="preserve">Misión del Dual Hub Summit: </w:t>
      </w:r>
      <w:r w:rsidDel="00000000" w:rsidR="00000000" w:rsidRPr="00000000">
        <w:rPr>
          <w:rFonts w:ascii="Poppins Light" w:cs="Poppins Light" w:eastAsia="Poppins Light" w:hAnsi="Poppins Light"/>
          <w:sz w:val="24"/>
          <w:szCs w:val="24"/>
          <w:rtl w:val="0"/>
        </w:rPr>
        <w:t xml:space="preserve">Consolidar un espacio de articulación entre ciencia, defensa, industria y Estado para activar la innovación dual en Chile, impulsando tecnologías que respondan a desafíos estratégicos del país y generen valor público, desarrollo productivo y capacidades tecnológicas con impacto nacional e internacional.</w:t>
      </w:r>
    </w:p>
    <w:p w:rsidR="00000000" w:rsidDel="00000000" w:rsidP="00000000" w:rsidRDefault="00000000" w:rsidRPr="00000000" w14:paraId="00000003">
      <w:pPr>
        <w:spacing w:line="278.00000000000006" w:lineRule="auto"/>
        <w:jc w:val="both"/>
        <w:rPr>
          <w:rFonts w:ascii="Montserrat SemiBold" w:cs="Montserrat SemiBold" w:eastAsia="Montserrat SemiBold" w:hAnsi="Montserrat SemiBold"/>
          <w:sz w:val="24"/>
          <w:szCs w:val="24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sz w:val="24"/>
          <w:szCs w:val="24"/>
          <w:rtl w:val="0"/>
        </w:rPr>
        <w:t xml:space="preserve">6 y 7 de mayo de 2025</w:t>
      </w:r>
    </w:p>
    <w:p w:rsidR="00000000" w:rsidDel="00000000" w:rsidP="00000000" w:rsidRDefault="00000000" w:rsidRPr="00000000" w14:paraId="00000004">
      <w:pPr>
        <w:spacing w:line="278.00000000000006" w:lineRule="auto"/>
        <w:jc w:val="both"/>
        <w:rPr>
          <w:rFonts w:ascii="Montserrat SemiBold" w:cs="Montserrat SemiBold" w:eastAsia="Montserrat SemiBold" w:hAnsi="Montserrat SemiBold"/>
          <w:sz w:val="24"/>
          <w:szCs w:val="24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sz w:val="24"/>
          <w:szCs w:val="24"/>
          <w:rtl w:val="0"/>
        </w:rPr>
        <w:t xml:space="preserve">Universidad del Bío-Bío, Concepción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spacing w:after="80" w:before="360" w:line="278.00000000000006" w:lineRule="auto"/>
        <w:jc w:val="both"/>
        <w:rPr>
          <w:rFonts w:ascii="Montserrat SemiBold" w:cs="Montserrat SemiBold" w:eastAsia="Montserrat SemiBold" w:hAnsi="Montserrat SemiBold"/>
          <w:color w:val="0f4761"/>
          <w:sz w:val="30"/>
          <w:szCs w:val="30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0f4761"/>
          <w:sz w:val="30"/>
          <w:szCs w:val="30"/>
          <w:rtl w:val="0"/>
        </w:rPr>
        <w:t xml:space="preserve">Programa de Actividades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1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500"/>
        <w:gridCol w:w="7815"/>
        <w:tblGridChange w:id="0">
          <w:tblGrid>
            <w:gridCol w:w="1500"/>
            <w:gridCol w:w="7815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gridSpan w:val="2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e60f7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martes 6 mayo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2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cea1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Auditorio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8:00-9:00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Acreditación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jc w:val="center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9:00-10:30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1.- Innovación Dual: Una estrategia país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Palabras de inicio autoridades invitadas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Merge w:val="continue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Charla Inaugural Javier Ramírez, Director de Know Hub Chile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Experiencia de Innovación Dual: Proyecto Fortis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A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Conversatorio: "Oportunidades de la Innovación Dual"</w:t>
            </w:r>
          </w:p>
          <w:p w:rsidR="00000000" w:rsidDel="00000000" w:rsidP="00000000" w:rsidRDefault="00000000" w:rsidRPr="00000000" w14:paraId="0000001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Participan: Capitán de Navío Francisco Mackay, Director del Centro de Innovación Tecnológica de la Armada (CITA); Elizabeth Zapata Directora de Desarrollo Tecnológico de la Gerencia de Capacidades Tecnológicas de Corfo; Carlos Ladrix Subdirector de Investigación Aplicada de ANID, Carolina Calvo Directora ejecutiva del Centro de Estudios sobre No Proliferación en Chile, Juan Ignacio Poupin Gerente General de Raylex.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10:30-11:00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Coffee Break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Merge w:val="restart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jc w:val="center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11:00-12:00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2- Economía Espacial: Oportunidad estratégica para Chile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Merge w:val="continue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General de Aviación Luis Saez Collantes, Comandante del Comando Logístico FACH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Loreto Moraga, Vicepresidente ACHIDE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Dr. Guler Kocak, Spacelis - DIANA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Merge w:val="continue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Experiencia de Innovación Dual: Colaboración internacional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Merge w:val="restart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jc w:val="center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12:10-13:30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3- Experiencia y oportunidades de la Industria Espacial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Erin Flores, Arech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Sebasthian Ogalde, Andes Aerospace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Pablo Dueñas, Spacely - CLIE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vMerge w:val="continue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Coronel Hector Contreras, Sistema Nacional Espacial, DIRECTOR DEL CENTRO ESPACIAL NACIONAL - DIRES - FACH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13:10-14:30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Almuerzo libre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2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cea1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Edificio de Innovación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jc w:val="center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14:30-17:30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4- Sinergias para la Innovación Dual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" w:hRule="atLeast"/>
          <w:tblHeader w:val="0"/>
        </w:trPr>
        <w:tc>
          <w:tcPr>
            <w:vMerge w:val="continue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Industrias Estratégicas de Defensa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ENAER - Pedro Zambrano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Merge w:val="continue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EJERCITO - Industria Militar Expositor por confirmar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ASMAR Expositor por confirmar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" w:hRule="atLeast"/>
          <w:tblHeader w:val="0"/>
        </w:trPr>
        <w:tc>
          <w:tcPr>
            <w:vMerge w:val="continue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Centros Tecnológicos y de Investigación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Benjamín Germany, Gerente General de C4i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Merge w:val="continue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Francisco Nuñez, Director del Programa de Economía Espacial y Ambiental, Universidad del Bío-Bío, Centro de Economía Espacial UBB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Elise Servajean, Astrónoma chilena, gerente del Centro de Astrofísica y Tecnologías Afines, CATA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" w:hRule="atLeast"/>
          <w:tblHeader w:val="0"/>
        </w:trPr>
        <w:tc>
          <w:tcPr>
            <w:vMerge w:val="continue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Catalizadores del Ecosistema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CIDERE Expositor por confirmar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Tatiana Rioseco, Gestora Tecnológica, Oficina de Transferencia y Licenciamiento Universidad del Bío-Bío (OTL-UBB)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Óscar Vásquez, coordinador de Emprendimiento de IncubaUdeC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.47753906249994" w:hRule="atLeast"/>
          <w:tblHeader w:val="0"/>
        </w:trPr>
        <w:tc>
          <w:tcPr>
            <w:vMerge w:val="continue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Centros Tecológicos y de Investigación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Merge w:val="continue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Taller: "Construyendo Sinergias para la Innovación Dual"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51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500"/>
        <w:gridCol w:w="8010"/>
        <w:tblGridChange w:id="0">
          <w:tblGrid>
            <w:gridCol w:w="1500"/>
            <w:gridCol w:w="8010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a49c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miércoles 7 mayo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cea1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Auditorio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8:00-9:00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Acreditación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jc w:val="center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9:00-10:30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5- Construcción Naval y Desarrollo Nacional: una visión estratégica desde la innovación dual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José Miguel Benavente, Vicepresidente Ejecutivo de la Corporación</w:t>
            </w:r>
          </w:p>
          <w:p w:rsidR="00000000" w:rsidDel="00000000" w:rsidP="00000000" w:rsidRDefault="00000000" w:rsidRPr="00000000" w14:paraId="0000006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de Fomento de la Producción (Corfo)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Jean David Caprase, Director de Asuntos Académicos del Instituto Coppe de la Universidad Federal de Río de Janeiro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Conversatorio: "Oportunidades de la Construcción Naval"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Experiencia de Innovación Dual: IA para la defensa y el mundo civil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10:30-11:00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Coffee Break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jc w:val="center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11:00-13:10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6- Desafíos productivos y territoriales del sector naval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Vicealmirante (Ret,) Sr. Ramiro Navajas, encargado de Desarrollo de Negocios de DTS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ASMAR Expositor por confirmar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Capitán de Navío Enzo Tesser, Jefe del Departamento de Construcción Naval de la DIPRIDA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Vittor Lemos, Sales Director Public Sector, Oracle Chile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13:10-14:30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Almuerzo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jc w:val="center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14:30-16:30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8- ¿En qué estamos? Resultados y proyecciones del ecosistema dual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Capitán de Navío Oscar García, Subdirector de la Dirección de Programas, Investigación y Desarrollo de la Armada (DIPRIDA)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Teniente 1° Rodolfo Martínez de la Dirección de Programas, Investigación y Desarrollo de la Armada (DIPRIDA)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6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Presentación Equipos Avante 04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Experiencia de Innovación Dual: Formación para la colaboración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44746"/>
                <w:sz w:val="18"/>
                <w:szCs w:val="18"/>
                <w:rtl w:val="0"/>
              </w:rPr>
              <w:t xml:space="preserve">16:30-17:30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9- Cierre: "Innovación Dual: sembrando hoy las capacidades del mañana"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Style w:val="Heading1"/>
        <w:spacing w:after="80" w:before="360" w:line="278.00000000000006" w:lineRule="auto"/>
        <w:jc w:val="both"/>
        <w:rPr>
          <w:rFonts w:ascii="Montserrat SemiBold" w:cs="Montserrat SemiBold" w:eastAsia="Montserrat SemiBold" w:hAnsi="Montserrat SemiBold"/>
          <w:color w:val="0f4761"/>
          <w:sz w:val="30"/>
          <w:szCs w:val="3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42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500"/>
        <w:gridCol w:w="7920"/>
        <w:tblGridChange w:id="0">
          <w:tblGrid>
            <w:gridCol w:w="1500"/>
            <w:gridCol w:w="7920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gridSpan w:val="2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8a49c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miércoles 7 mayo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cea1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Edificio de Innovación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10- Know Club: Un espacio para impulsar conexiones de innovación dual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9:00-13:00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Introducción jornada y dinámicas de networking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Identificadores para conexiones estratégicas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Tu startup en 6 palabras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Espacio temático 1: De Startup a Scaleup: La importancia del gobierno corporativo – Rodrigo Morales, South Andes Consulting.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Pausa para Café y Networking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Espacio temático 2: Inversiones privadas en startups Deep Tech: Venture Capital, corporativos y más – Felipe Burgos, Kaf-Ventures.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Espacio temático 3: Ciber Resiliencia, escalamiento y comercialización: claves para consolidar y expandir tu empresa en LATAM – Luis Vásquez, Innova360.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Open Mic: "Toda pregunta es válida" - Experiencia de emprendimiento dual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Cierre: "Emprendimiento Dual: un compromiso que recién comienza"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2">
      <w:pPr>
        <w:pStyle w:val="Heading1"/>
        <w:spacing w:after="80" w:before="360" w:line="278.00000000000006" w:lineRule="auto"/>
        <w:jc w:val="both"/>
        <w:rPr>
          <w:rFonts w:ascii="Montserrat SemiBold" w:cs="Montserrat SemiBold" w:eastAsia="Montserrat SemiBold" w:hAnsi="Montserrat SemiBold"/>
          <w:color w:val="0f476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Style w:val="Heading1"/>
        <w:spacing w:after="80" w:before="360" w:line="278.00000000000006" w:lineRule="auto"/>
        <w:jc w:val="both"/>
        <w:rPr>
          <w:rFonts w:ascii="Montserrat SemiBold" w:cs="Montserrat SemiBold" w:eastAsia="Montserrat SemiBold" w:hAnsi="Montserrat SemiBold"/>
          <w:color w:val="0f4761"/>
          <w:sz w:val="30"/>
          <w:szCs w:val="3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Style w:val="Heading1"/>
        <w:spacing w:after="80" w:before="360" w:line="278.00000000000006" w:lineRule="auto"/>
        <w:jc w:val="both"/>
        <w:rPr>
          <w:rFonts w:ascii="Montserrat SemiBold" w:cs="Montserrat SemiBold" w:eastAsia="Montserrat SemiBold" w:hAnsi="Montserrat SemiBold"/>
          <w:color w:val="0f4761"/>
          <w:sz w:val="30"/>
          <w:szCs w:val="30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0f4761"/>
          <w:sz w:val="30"/>
          <w:szCs w:val="30"/>
          <w:rtl w:val="0"/>
        </w:rPr>
        <w:t xml:space="preserve">¿Por qué asistir al Dual Hub Summit?</w:t>
      </w:r>
    </w:p>
    <w:p w:rsidR="00000000" w:rsidDel="00000000" w:rsidP="00000000" w:rsidRDefault="00000000" w:rsidRPr="00000000" w14:paraId="000000C5">
      <w:pPr>
        <w:spacing w:after="160" w:line="278.00000000000006" w:lineRule="auto"/>
        <w:jc w:val="both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sz w:val="24"/>
          <w:szCs w:val="24"/>
          <w:rtl w:val="0"/>
        </w:rPr>
        <w:t xml:space="preserve">El Dual Hub Summit representa una oportunidad única para participar activamente en el desarrollo de una estrategia nacional de innovación dual. Permite establecer redes con líderes institucionales, científicos y empresariales, y conocer en terreno proyectos que articulan ciencia, tecnología y defensa con impacto real en el país.</w:t>
      </w:r>
    </w:p>
    <w:p w:rsidR="00000000" w:rsidDel="00000000" w:rsidP="00000000" w:rsidRDefault="00000000" w:rsidRPr="00000000" w14:paraId="000000C6">
      <w:pPr>
        <w:spacing w:after="160" w:line="278.00000000000006" w:lineRule="auto"/>
        <w:jc w:val="both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sz w:val="24"/>
          <w:szCs w:val="24"/>
          <w:rtl w:val="0"/>
        </w:rPr>
        <w:t xml:space="preserve">A través de conferencias, paneles y mesas de trabajo, se podrá explorar el potencial de sectores estratégicos como el espacial y el naval, acceder a experiencias internacionales y contribuir directamente a la construcción de capacidades tecnológicas con visión de largo plazo.</w:t>
      </w:r>
    </w:p>
    <w:p w:rsidR="00000000" w:rsidDel="00000000" w:rsidP="00000000" w:rsidRDefault="00000000" w:rsidRPr="00000000" w14:paraId="000000C7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60489</wp:posOffset>
            </wp:positionH>
            <wp:positionV relativeFrom="paragraph">
              <wp:posOffset>6248400</wp:posOffset>
            </wp:positionV>
            <wp:extent cx="5612130" cy="673100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3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7" w:type="default"/>
      <w:headerReference r:id="rId8" w:type="first"/>
      <w:footerReference r:id="rId9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ptos"/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A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8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9">
    <w:pPr>
      <w:tabs>
        <w:tab w:val="center" w:leader="none" w:pos="4419"/>
        <w:tab w:val="right" w:leader="none" w:pos="8838"/>
      </w:tabs>
      <w:spacing w:line="240" w:lineRule="auto"/>
      <w:jc w:val="center"/>
      <w:rPr>
        <w:rFonts w:ascii="Aptos" w:cs="Aptos" w:eastAsia="Aptos" w:hAnsi="Aptos"/>
        <w:sz w:val="24"/>
        <w:szCs w:val="24"/>
      </w:rPr>
    </w:pPr>
    <w:r w:rsidDel="00000000" w:rsidR="00000000" w:rsidRPr="00000000">
      <w:rPr>
        <w:rFonts w:ascii="Aptos" w:cs="Aptos" w:eastAsia="Aptos" w:hAnsi="Aptos"/>
        <w:sz w:val="24"/>
        <w:szCs w:val="24"/>
      </w:rPr>
      <w:drawing>
        <wp:inline distB="0" distT="0" distL="0" distR="0">
          <wp:extent cx="756000" cy="936000"/>
          <wp:effectExtent b="0" l="0" r="0" t="0"/>
          <wp:docPr descr="Gráfico, Gráfico de proyección solar&#10;&#10;El contenido generado por IA puede ser incorrecto." id="1" name="image2.png"/>
          <a:graphic>
            <a:graphicData uri="http://schemas.openxmlformats.org/drawingml/2006/picture">
              <pic:pic>
                <pic:nvPicPr>
                  <pic:cNvPr descr="Gráfico, Gráfico de proyección solar&#10;&#10;El contenido generado por IA puede ser incorrecto.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000" cy="936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Light-italic.ttf"/><Relationship Id="rId10" Type="http://schemas.openxmlformats.org/officeDocument/2006/relationships/font" Target="fonts/PoppinsLight-bold.ttf"/><Relationship Id="rId13" Type="http://schemas.openxmlformats.org/officeDocument/2006/relationships/font" Target="fonts/MontserratLight-regular.ttf"/><Relationship Id="rId12" Type="http://schemas.openxmlformats.org/officeDocument/2006/relationships/font" Target="fonts/PoppinsLight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PoppinsLight-regular.ttf"/><Relationship Id="rId15" Type="http://schemas.openxmlformats.org/officeDocument/2006/relationships/font" Target="fonts/MontserratLight-italic.ttf"/><Relationship Id="rId14" Type="http://schemas.openxmlformats.org/officeDocument/2006/relationships/font" Target="fonts/MontserratLight-bold.ttf"/><Relationship Id="rId16" Type="http://schemas.openxmlformats.org/officeDocument/2006/relationships/font" Target="fonts/MontserratLight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